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765" w:rsidRPr="00CF6010" w:rsidRDefault="006F3765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6010" w:rsidRPr="00ED15CC" w:rsidRDefault="00ED15CC" w:rsidP="0093024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D15CC">
        <w:rPr>
          <w:rFonts w:ascii="Arial" w:hAnsi="Arial" w:cs="Arial"/>
          <w:b/>
          <w:sz w:val="28"/>
          <w:szCs w:val="28"/>
          <w:u w:val="single"/>
        </w:rPr>
        <w:t>TERMO DE REFERÊNCIA</w:t>
      </w:r>
    </w:p>
    <w:p w:rsidR="00CF6010" w:rsidRPr="00CF6010" w:rsidRDefault="00CF6010" w:rsidP="009302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02A43">
        <w:rPr>
          <w:rFonts w:ascii="Arial" w:hAnsi="Arial" w:cs="Arial"/>
          <w:b/>
          <w:sz w:val="24"/>
          <w:szCs w:val="24"/>
        </w:rPr>
        <w:t>1. OBJETO</w:t>
      </w: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43">
        <w:rPr>
          <w:rFonts w:ascii="Arial" w:hAnsi="Arial" w:cs="Arial"/>
          <w:sz w:val="24"/>
          <w:szCs w:val="24"/>
        </w:rPr>
        <w:t xml:space="preserve">1.1. Contratação de Instituição Financeira, Pública ou Privada para: i) operar os serviços e gerenciamento de créditos provenientes da folha de pagamento dos agentes políticos, funcionários públicos e servidores ativos, inclusive aqueles cedidos com ônus para a Câmara Municipal, de forma exclusiva; </w:t>
      </w:r>
      <w:proofErr w:type="spellStart"/>
      <w:proofErr w:type="gramStart"/>
      <w:r w:rsidRPr="00402A43">
        <w:rPr>
          <w:rFonts w:ascii="Arial" w:hAnsi="Arial" w:cs="Arial"/>
          <w:sz w:val="24"/>
          <w:szCs w:val="24"/>
        </w:rPr>
        <w:t>ii</w:t>
      </w:r>
      <w:proofErr w:type="spellEnd"/>
      <w:proofErr w:type="gramEnd"/>
      <w:r w:rsidRPr="00402A43">
        <w:rPr>
          <w:rFonts w:ascii="Arial" w:hAnsi="Arial" w:cs="Arial"/>
          <w:sz w:val="24"/>
          <w:szCs w:val="24"/>
        </w:rPr>
        <w:t>) efetuar, de forma presencial, e por ordem da Contratante, o pagamento de fornecedores da CÂMARA MUNICIPAL DE CONCEIÇÃO DE MACABU/RJ, com exclusividade, sem ônus para a contratante, pelo prazo de 60 (sessenta) meses.</w:t>
      </w: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43">
        <w:rPr>
          <w:rFonts w:ascii="Arial" w:hAnsi="Arial" w:cs="Arial"/>
          <w:sz w:val="24"/>
          <w:szCs w:val="24"/>
        </w:rPr>
        <w:t>1.2. Será assegurado a todos os agentes políticos, funcionários públicos e servidores ativos da Câmara Municipal de Conceição de Macabu, inclusive aqueles cedidos com ônus para o Poder Legislativo, o direito de transferir os valores depositados em conta salário para outra conta de instituição bancária diferente e da qual os mesmos sejam titulares, sem custos, nos termos da Resolução nº 3.402/2006 do Banco Central.</w:t>
      </w: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02A43">
        <w:rPr>
          <w:rFonts w:ascii="Arial" w:hAnsi="Arial" w:cs="Arial"/>
          <w:b/>
          <w:sz w:val="24"/>
          <w:szCs w:val="24"/>
        </w:rPr>
        <w:t>2. JUSTIFICATIVA</w:t>
      </w: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43">
        <w:rPr>
          <w:rFonts w:ascii="Arial" w:hAnsi="Arial" w:cs="Arial"/>
          <w:sz w:val="24"/>
          <w:szCs w:val="24"/>
        </w:rPr>
        <w:t>2.1. Contratar por meio de regular procedimento licitatório da modalidade pregão presencial por maior oferta, a prestação de serviços de centralização e processamento de folha de pagamento dos agentes políticos, funcionários públicos e servidores ativos, inclusive aqueles cedidos com ônus para a Câmara Municipal, de forma exclusiva.</w:t>
      </w: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43">
        <w:rPr>
          <w:rFonts w:ascii="Arial" w:hAnsi="Arial" w:cs="Arial"/>
          <w:sz w:val="24"/>
          <w:szCs w:val="24"/>
        </w:rPr>
        <w:t xml:space="preserve">2.2. Atualmente a Câmara Municipal de Conceição de Macabu não dispõe de contrato em vigor via processo licitatório para a prestação dos serviços elencados no objeto do presente Termo de Referência, nos termos do ofício registrado </w:t>
      </w:r>
      <w:proofErr w:type="gramStart"/>
      <w:r w:rsidRPr="00402A43">
        <w:rPr>
          <w:rFonts w:ascii="Arial" w:hAnsi="Arial" w:cs="Arial"/>
          <w:sz w:val="24"/>
          <w:szCs w:val="24"/>
        </w:rPr>
        <w:t>sob número</w:t>
      </w:r>
      <w:proofErr w:type="gramEnd"/>
      <w:r w:rsidRPr="00402A43">
        <w:rPr>
          <w:rFonts w:ascii="Arial" w:hAnsi="Arial" w:cs="Arial"/>
          <w:sz w:val="24"/>
          <w:szCs w:val="24"/>
        </w:rPr>
        <w:t xml:space="preserve"> de protocolo 037/2018 (CMCM) pelo Banco </w:t>
      </w:r>
      <w:proofErr w:type="spellStart"/>
      <w:r w:rsidRPr="00402A43">
        <w:rPr>
          <w:rFonts w:ascii="Arial" w:hAnsi="Arial" w:cs="Arial"/>
          <w:sz w:val="24"/>
          <w:szCs w:val="24"/>
        </w:rPr>
        <w:t>Itáu</w:t>
      </w:r>
      <w:proofErr w:type="spellEnd"/>
      <w:r w:rsidRPr="00402A43">
        <w:rPr>
          <w:rFonts w:ascii="Arial" w:hAnsi="Arial" w:cs="Arial"/>
          <w:sz w:val="24"/>
          <w:szCs w:val="24"/>
        </w:rPr>
        <w:t xml:space="preserve"> S/A.</w:t>
      </w: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02A43">
        <w:rPr>
          <w:rFonts w:ascii="Arial" w:hAnsi="Arial" w:cs="Arial"/>
          <w:b/>
          <w:sz w:val="24"/>
          <w:szCs w:val="24"/>
        </w:rPr>
        <w:t>3. DESCRIÇÃO DO OBJETO</w:t>
      </w: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43">
        <w:rPr>
          <w:rFonts w:ascii="Arial" w:hAnsi="Arial" w:cs="Arial"/>
          <w:sz w:val="24"/>
          <w:szCs w:val="24"/>
        </w:rPr>
        <w:t>3.1. Em caráter de exclusividade:</w:t>
      </w: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43">
        <w:rPr>
          <w:rFonts w:ascii="Arial" w:hAnsi="Arial" w:cs="Arial"/>
          <w:sz w:val="24"/>
          <w:szCs w:val="24"/>
        </w:rPr>
        <w:t>3.1.1. Centralização e processamento de créditos de folha de pagamento gerada pela Câmara Municipal de Conceição de Macabu/RJ, a serem creditados em conta de titularidade de seus agentes políticos, funcionários públicos e servidores ativos, inclusive aqueles cedidos com ônus para a Câmara Municipal, no banco contratado.</w:t>
      </w: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43">
        <w:rPr>
          <w:rFonts w:ascii="Arial" w:hAnsi="Arial" w:cs="Arial"/>
          <w:sz w:val="24"/>
          <w:szCs w:val="24"/>
        </w:rPr>
        <w:t>3.1.2. Efetuar por ordem da Câmara Municipal de Conceição de Macabu/RJ, o pagamento de seus fornecedores e prestadores de serviços.</w:t>
      </w: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43">
        <w:rPr>
          <w:rFonts w:ascii="Arial" w:hAnsi="Arial" w:cs="Arial"/>
          <w:sz w:val="24"/>
          <w:szCs w:val="24"/>
        </w:rPr>
        <w:lastRenderedPageBreak/>
        <w:t>3.2. Sem caráter de exclusividade:</w:t>
      </w: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43">
        <w:rPr>
          <w:rFonts w:ascii="Arial" w:hAnsi="Arial" w:cs="Arial"/>
          <w:sz w:val="24"/>
          <w:szCs w:val="24"/>
        </w:rPr>
        <w:t>3.2.1. Concessão de crédito aos agentes políticos, funcionários públicos, servidores ativos, inclusive aqueles cedidos com ônus para a Câmara Municipal, mediante consignação em folha de pagamento.</w:t>
      </w: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02A43">
        <w:rPr>
          <w:rFonts w:ascii="Arial" w:hAnsi="Arial" w:cs="Arial"/>
          <w:b/>
          <w:sz w:val="24"/>
          <w:szCs w:val="24"/>
        </w:rPr>
        <w:t>4. CRITÉRIO DE ESCOLHA DA PROPOSTA MAIS VANTAJOSA</w:t>
      </w: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43">
        <w:rPr>
          <w:rFonts w:ascii="Arial" w:hAnsi="Arial" w:cs="Arial"/>
          <w:sz w:val="24"/>
          <w:szCs w:val="24"/>
        </w:rPr>
        <w:t>4.1. Para julgamento e classificação da(s) proposta(s) será adotado o critério da MAIOR OFERTA DE PREÇO, referente aos serviços de processamento e gerenciamento da Folha de Pagamento dos funcionários públicos, servidores ativos, inclusive aqueles cedidos com ônus para a Câmara Municipal, pelo período de 60 (sessenta) meses, observadas as especificações técnicas e os parâmetros mínimos de desempenho e qualidade.</w:t>
      </w: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43">
        <w:rPr>
          <w:rFonts w:ascii="Arial" w:hAnsi="Arial" w:cs="Arial"/>
          <w:sz w:val="24"/>
          <w:szCs w:val="24"/>
        </w:rPr>
        <w:t>4.1.1. O valor ofertado deverá ser líquido, não cabendo à contratada a retenção de parcela ou percentual a qualquer título.</w:t>
      </w: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43">
        <w:rPr>
          <w:rFonts w:ascii="Arial" w:hAnsi="Arial" w:cs="Arial"/>
          <w:sz w:val="24"/>
          <w:szCs w:val="24"/>
        </w:rPr>
        <w:t xml:space="preserve">4.1.2. O critério de julgamento será o maior valor ofertado a partir de R$ </w:t>
      </w:r>
      <w:r w:rsidR="00066CEB">
        <w:rPr>
          <w:rFonts w:ascii="Arial" w:hAnsi="Arial" w:cs="Arial"/>
          <w:sz w:val="24"/>
          <w:szCs w:val="24"/>
        </w:rPr>
        <w:t>21</w:t>
      </w:r>
      <w:r w:rsidRPr="00402A43">
        <w:rPr>
          <w:rFonts w:ascii="Arial" w:hAnsi="Arial" w:cs="Arial"/>
          <w:sz w:val="24"/>
          <w:szCs w:val="24"/>
        </w:rPr>
        <w:t>.</w:t>
      </w:r>
      <w:r w:rsidR="00066CEB">
        <w:rPr>
          <w:rFonts w:ascii="Arial" w:hAnsi="Arial" w:cs="Arial"/>
          <w:sz w:val="24"/>
          <w:szCs w:val="24"/>
        </w:rPr>
        <w:t>420</w:t>
      </w:r>
      <w:r w:rsidRPr="00402A43">
        <w:rPr>
          <w:rFonts w:ascii="Arial" w:hAnsi="Arial" w:cs="Arial"/>
          <w:sz w:val="24"/>
          <w:szCs w:val="24"/>
        </w:rPr>
        <w:t>,00 (</w:t>
      </w:r>
      <w:r w:rsidR="00066CEB">
        <w:rPr>
          <w:rFonts w:ascii="Arial" w:hAnsi="Arial" w:cs="Arial"/>
          <w:sz w:val="24"/>
          <w:szCs w:val="24"/>
        </w:rPr>
        <w:t>vinte e um mil e quatrocentos e vinte reais</w:t>
      </w:r>
      <w:r w:rsidRPr="00402A43">
        <w:rPr>
          <w:rFonts w:ascii="Arial" w:hAnsi="Arial" w:cs="Arial"/>
          <w:sz w:val="24"/>
          <w:szCs w:val="24"/>
        </w:rPr>
        <w:t>).</w:t>
      </w: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6CEB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43">
        <w:rPr>
          <w:rFonts w:ascii="Arial" w:hAnsi="Arial" w:cs="Arial"/>
          <w:sz w:val="24"/>
          <w:szCs w:val="24"/>
        </w:rPr>
        <w:t xml:space="preserve">4.1.2.1. O lance inicial tem como base </w:t>
      </w:r>
      <w:r w:rsidR="00066CEB">
        <w:rPr>
          <w:rFonts w:ascii="Arial" w:hAnsi="Arial" w:cs="Arial"/>
          <w:sz w:val="24"/>
          <w:szCs w:val="24"/>
        </w:rPr>
        <w:t>o valor pago pelas instituições financeiras, conforme precificação obtida por esta administração pública, sendo a média de R$ 8,50 (oito reais e cinquenta centavos) por funcionário, pelo período de 60 meses, totalizando o valor constante no item 4.1.2 deste Termo de Referência.</w:t>
      </w: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43">
        <w:rPr>
          <w:rFonts w:ascii="Arial" w:hAnsi="Arial" w:cs="Arial"/>
          <w:sz w:val="24"/>
          <w:szCs w:val="24"/>
        </w:rPr>
        <w:t>4.1.3. Pirâmide Salarial:</w:t>
      </w:r>
    </w:p>
    <w:p w:rsidR="00402A43" w:rsidRPr="00402A43" w:rsidRDefault="00402A43" w:rsidP="00402A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495"/>
        <w:gridCol w:w="3149"/>
      </w:tblGrid>
      <w:tr w:rsidR="00402A43" w:rsidRPr="00402A43" w:rsidTr="000C56B6">
        <w:tc>
          <w:tcPr>
            <w:tcW w:w="5495" w:type="dxa"/>
            <w:shd w:val="clear" w:color="auto" w:fill="A6A6A6" w:themeFill="background1" w:themeFillShade="A6"/>
          </w:tcPr>
          <w:p w:rsidR="00402A43" w:rsidRPr="00402A43" w:rsidRDefault="00402A43" w:rsidP="000C56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2A43">
              <w:rPr>
                <w:rFonts w:ascii="Arial" w:hAnsi="Arial" w:cs="Arial"/>
                <w:b/>
                <w:sz w:val="24"/>
                <w:szCs w:val="24"/>
              </w:rPr>
              <w:t>FAIXA SALARIAL</w:t>
            </w:r>
          </w:p>
        </w:tc>
        <w:tc>
          <w:tcPr>
            <w:tcW w:w="3149" w:type="dxa"/>
            <w:shd w:val="clear" w:color="auto" w:fill="A6A6A6" w:themeFill="background1" w:themeFillShade="A6"/>
          </w:tcPr>
          <w:p w:rsidR="00402A43" w:rsidRPr="00402A43" w:rsidRDefault="00402A43" w:rsidP="000C56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2A43">
              <w:rPr>
                <w:rFonts w:ascii="Arial" w:hAnsi="Arial" w:cs="Arial"/>
                <w:b/>
                <w:sz w:val="24"/>
                <w:szCs w:val="24"/>
              </w:rPr>
              <w:t>Nº DE FUNCIONÁRIOS</w:t>
            </w:r>
          </w:p>
        </w:tc>
      </w:tr>
      <w:tr w:rsidR="00402A43" w:rsidRPr="00402A43" w:rsidTr="000C56B6">
        <w:tc>
          <w:tcPr>
            <w:tcW w:w="5495" w:type="dxa"/>
          </w:tcPr>
          <w:p w:rsidR="00402A43" w:rsidRPr="00402A43" w:rsidRDefault="00402A43" w:rsidP="000C56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2A43">
              <w:rPr>
                <w:rFonts w:ascii="Arial" w:hAnsi="Arial" w:cs="Arial"/>
                <w:sz w:val="24"/>
                <w:szCs w:val="24"/>
              </w:rPr>
              <w:t>Entre R$ 1.500,01 e R$ 3.000,00</w:t>
            </w:r>
          </w:p>
        </w:tc>
        <w:tc>
          <w:tcPr>
            <w:tcW w:w="3149" w:type="dxa"/>
            <w:vAlign w:val="center"/>
          </w:tcPr>
          <w:p w:rsidR="00402A43" w:rsidRPr="00402A43" w:rsidRDefault="00402A43" w:rsidP="000C56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A43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402A43" w:rsidRPr="00402A43" w:rsidTr="000C56B6">
        <w:tc>
          <w:tcPr>
            <w:tcW w:w="5495" w:type="dxa"/>
          </w:tcPr>
          <w:p w:rsidR="00402A43" w:rsidRPr="00402A43" w:rsidRDefault="00402A43" w:rsidP="000C56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2A43">
              <w:rPr>
                <w:rFonts w:ascii="Arial" w:hAnsi="Arial" w:cs="Arial"/>
                <w:sz w:val="24"/>
                <w:szCs w:val="24"/>
              </w:rPr>
              <w:t>Entre R$ 3.000,01 e R$ 5.000,00</w:t>
            </w:r>
          </w:p>
        </w:tc>
        <w:tc>
          <w:tcPr>
            <w:tcW w:w="3149" w:type="dxa"/>
            <w:vAlign w:val="center"/>
          </w:tcPr>
          <w:p w:rsidR="00402A43" w:rsidRPr="00402A43" w:rsidRDefault="00402A43" w:rsidP="000C56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A4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</w:tr>
      <w:tr w:rsidR="00402A43" w:rsidRPr="00402A43" w:rsidTr="000C56B6">
        <w:tc>
          <w:tcPr>
            <w:tcW w:w="5495" w:type="dxa"/>
          </w:tcPr>
          <w:p w:rsidR="00402A43" w:rsidRPr="00402A43" w:rsidRDefault="00402A43" w:rsidP="000C56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2A43">
              <w:rPr>
                <w:rFonts w:ascii="Arial" w:hAnsi="Arial" w:cs="Arial"/>
                <w:sz w:val="24"/>
                <w:szCs w:val="24"/>
              </w:rPr>
              <w:t>Entre R$ 5.000,01 e R$ 10.000,00</w:t>
            </w:r>
          </w:p>
        </w:tc>
        <w:tc>
          <w:tcPr>
            <w:tcW w:w="3149" w:type="dxa"/>
            <w:vAlign w:val="center"/>
          </w:tcPr>
          <w:p w:rsidR="00402A43" w:rsidRPr="00402A43" w:rsidRDefault="00402A43" w:rsidP="000C56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A4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402A43" w:rsidRPr="00402A43" w:rsidTr="000C56B6">
        <w:tc>
          <w:tcPr>
            <w:tcW w:w="5495" w:type="dxa"/>
            <w:shd w:val="clear" w:color="auto" w:fill="A6A6A6" w:themeFill="background1" w:themeFillShade="A6"/>
          </w:tcPr>
          <w:p w:rsidR="00402A43" w:rsidRPr="00402A43" w:rsidRDefault="00402A43" w:rsidP="000C56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2A43">
              <w:rPr>
                <w:rFonts w:ascii="Arial" w:hAnsi="Arial" w:cs="Arial"/>
                <w:b/>
                <w:sz w:val="24"/>
                <w:szCs w:val="24"/>
              </w:rPr>
              <w:t>TOTAL GERAL:</w:t>
            </w:r>
          </w:p>
        </w:tc>
        <w:tc>
          <w:tcPr>
            <w:tcW w:w="3149" w:type="dxa"/>
            <w:shd w:val="clear" w:color="auto" w:fill="A6A6A6" w:themeFill="background1" w:themeFillShade="A6"/>
          </w:tcPr>
          <w:p w:rsidR="00402A43" w:rsidRPr="00402A43" w:rsidRDefault="00402A43" w:rsidP="000C56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2A43">
              <w:rPr>
                <w:rFonts w:ascii="Arial" w:hAnsi="Arial" w:cs="Arial"/>
                <w:b/>
                <w:sz w:val="24"/>
                <w:szCs w:val="24"/>
              </w:rPr>
              <w:t>42</w:t>
            </w:r>
          </w:p>
        </w:tc>
      </w:tr>
      <w:tr w:rsidR="00402A43" w:rsidRPr="00402A43" w:rsidTr="000C56B6">
        <w:tc>
          <w:tcPr>
            <w:tcW w:w="8644" w:type="dxa"/>
            <w:gridSpan w:val="2"/>
            <w:shd w:val="clear" w:color="auto" w:fill="FFFFFF" w:themeFill="background1"/>
          </w:tcPr>
          <w:p w:rsidR="00402A43" w:rsidRPr="00402A43" w:rsidRDefault="00402A43" w:rsidP="000C56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2A43">
              <w:rPr>
                <w:rFonts w:ascii="Arial" w:hAnsi="Arial" w:cs="Arial"/>
                <w:sz w:val="24"/>
                <w:szCs w:val="24"/>
              </w:rPr>
              <w:t>Total geral considera agentes políticos, funcionários públicos e servidores ativos.</w:t>
            </w:r>
          </w:p>
        </w:tc>
      </w:tr>
    </w:tbl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43">
        <w:rPr>
          <w:rFonts w:ascii="Arial" w:hAnsi="Arial" w:cs="Arial"/>
          <w:sz w:val="24"/>
          <w:szCs w:val="24"/>
        </w:rPr>
        <w:t xml:space="preserve">4.1.3.1. O valor bruto da Folha de Pagamento da Câmara Municipal no mês de agosto/2018 foi de R$ 148.751,76 (Cento e quarenta e oito mil, setecentos e cinquenta e </w:t>
      </w:r>
      <w:proofErr w:type="gramStart"/>
      <w:r w:rsidRPr="00402A43">
        <w:rPr>
          <w:rFonts w:ascii="Arial" w:hAnsi="Arial" w:cs="Arial"/>
          <w:sz w:val="24"/>
          <w:szCs w:val="24"/>
        </w:rPr>
        <w:t>um reais</w:t>
      </w:r>
      <w:proofErr w:type="gramEnd"/>
      <w:r w:rsidRPr="00402A43">
        <w:rPr>
          <w:rFonts w:ascii="Arial" w:hAnsi="Arial" w:cs="Arial"/>
          <w:sz w:val="24"/>
          <w:szCs w:val="24"/>
        </w:rPr>
        <w:t xml:space="preserve"> e setenta e seis centavos). A periodicidade dos pagamentos é mensal, podendo ocorrer outros de qualquer período, conforme conveniência administrativa da Câmara Municipal.</w:t>
      </w: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A43" w:rsidRPr="00A030BC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43">
        <w:rPr>
          <w:rFonts w:ascii="Arial" w:hAnsi="Arial" w:cs="Arial"/>
          <w:sz w:val="24"/>
          <w:szCs w:val="24"/>
        </w:rPr>
        <w:t xml:space="preserve">4.1.3.2. A pirâmide salarial reflete tão somente a faixa salarial aplicável </w:t>
      </w:r>
      <w:proofErr w:type="gramStart"/>
      <w:r w:rsidRPr="00402A43">
        <w:rPr>
          <w:rFonts w:ascii="Arial" w:hAnsi="Arial" w:cs="Arial"/>
          <w:sz w:val="24"/>
          <w:szCs w:val="24"/>
        </w:rPr>
        <w:t>a</w:t>
      </w:r>
      <w:proofErr w:type="gramEnd"/>
      <w:r w:rsidRPr="00402A43">
        <w:rPr>
          <w:rFonts w:ascii="Arial" w:hAnsi="Arial" w:cs="Arial"/>
          <w:sz w:val="24"/>
          <w:szCs w:val="24"/>
        </w:rPr>
        <w:t xml:space="preserve"> época da elaboração do presente procedimento licitatório, podendo no decorrer dos 60 meses sofrer alteração tanto superior quanto inferior, em decorrência de </w:t>
      </w:r>
      <w:r w:rsidRPr="00402A43">
        <w:rPr>
          <w:rFonts w:ascii="Arial" w:hAnsi="Arial" w:cs="Arial"/>
          <w:sz w:val="24"/>
          <w:szCs w:val="24"/>
        </w:rPr>
        <w:lastRenderedPageBreak/>
        <w:t>criação, extinção, reajuste salarial, concurso público, bem como outras obrigações legais.</w:t>
      </w: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02A43">
        <w:rPr>
          <w:rFonts w:ascii="Arial" w:hAnsi="Arial" w:cs="Arial"/>
          <w:b/>
          <w:sz w:val="24"/>
          <w:szCs w:val="24"/>
        </w:rPr>
        <w:t>5. FORMA E CONDIÇÃO DE PAGAMENTO DA OFERTA</w:t>
      </w: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43">
        <w:rPr>
          <w:rFonts w:ascii="Arial" w:hAnsi="Arial" w:cs="Arial"/>
          <w:sz w:val="24"/>
          <w:szCs w:val="24"/>
        </w:rPr>
        <w:t>5.1. A CONTRATADA deverá efetuar o recolhimento do valor ofertado em até 10 (dez) dias corridos, após a publicação do extrato no Diário Oficial do Município, mediante ordem bancária creditada na conta da Prefeitura Municipal de Conceição de Macabu/RJ, indicada na cláusula sétima da minuta do contrato.</w:t>
      </w: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02A43">
        <w:rPr>
          <w:rFonts w:ascii="Arial" w:hAnsi="Arial" w:cs="Arial"/>
          <w:b/>
          <w:sz w:val="24"/>
          <w:szCs w:val="24"/>
        </w:rPr>
        <w:t>6. DAS OBRIGAÇÕES DA CONTRATANTE</w:t>
      </w: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43">
        <w:rPr>
          <w:rFonts w:ascii="Arial" w:hAnsi="Arial" w:cs="Arial"/>
          <w:sz w:val="24"/>
          <w:szCs w:val="24"/>
        </w:rPr>
        <w:t>6.1. Centralizar os recursos mensais da folha de pagamento dos agentes políticos, funcionários públicos e servidores ativos, inclusive aqueles cedidos com ônus para a Câmara Municipal, na instituição financeira contratada.</w:t>
      </w: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43">
        <w:rPr>
          <w:rFonts w:ascii="Arial" w:hAnsi="Arial" w:cs="Arial"/>
          <w:sz w:val="24"/>
          <w:szCs w:val="24"/>
        </w:rPr>
        <w:t>6.2. Informar sempre que solicitado pela CONTRATADA, o saldo da margem consignável dos salários, por ocasião da solicitação de empréstimos.</w:t>
      </w: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43">
        <w:rPr>
          <w:rFonts w:ascii="Arial" w:hAnsi="Arial" w:cs="Arial"/>
          <w:sz w:val="24"/>
          <w:szCs w:val="24"/>
        </w:rPr>
        <w:t>6.3. Enviar mensalmente por meio eletrônico, com dois dias de antecedência da efetivação do crédito na conta dos agentes políticos, funcionários públicos e servidores ativos, inclusive aqueles cedidos com ônus para a Câmara Municipal, os relatórios com todos os dados que possibilitem a instituição financeira efetuar os créditos e as transferências para as contas indicadas.</w:t>
      </w: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43">
        <w:rPr>
          <w:rFonts w:ascii="Arial" w:hAnsi="Arial" w:cs="Arial"/>
          <w:sz w:val="24"/>
          <w:szCs w:val="24"/>
        </w:rPr>
        <w:t>6.4. Transferir para a conta corrente a ser mantida na instituição financeira contratada, até o dia anterior ao do pagamento da folha, os recursos financeiros necessários para a sua efetivação.</w:t>
      </w: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43">
        <w:rPr>
          <w:rFonts w:ascii="Arial" w:hAnsi="Arial" w:cs="Arial"/>
          <w:sz w:val="24"/>
          <w:szCs w:val="24"/>
        </w:rPr>
        <w:t>6.5. Prestar todo o apoio necessário a CONTRATADA para que seja alcançado o objeto do termo em toda sua extensão.</w:t>
      </w: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02A43">
        <w:rPr>
          <w:rFonts w:ascii="Arial" w:hAnsi="Arial" w:cs="Arial"/>
          <w:b/>
          <w:sz w:val="24"/>
          <w:szCs w:val="24"/>
        </w:rPr>
        <w:t>7. DAS OBRIGAÇÕES DA CONTRATADA</w:t>
      </w: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43">
        <w:rPr>
          <w:rFonts w:ascii="Arial" w:hAnsi="Arial" w:cs="Arial"/>
          <w:sz w:val="24"/>
          <w:szCs w:val="24"/>
        </w:rPr>
        <w:t>7.1. Abrir e manter, sem ônus para a CONTRATANTE, a denominada “conta salário” para os agentes políticos, funcionários públicos e servidores ativos da Câmara Municipal de Conceição de Macabu, efetuando a coleta de dados, documentos e assinaturas necessários, no local e horário de trabalho, para efeito de recepção de depósitos de salários, subsídios e valores dos créditos informados pela contratante em relatórios de folha de pagamento, sendo facultada, a critério do servidor, a conversão da conta salário em conta corrente.</w:t>
      </w: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43">
        <w:rPr>
          <w:rFonts w:ascii="Arial" w:hAnsi="Arial" w:cs="Arial"/>
          <w:sz w:val="24"/>
          <w:szCs w:val="24"/>
        </w:rPr>
        <w:t xml:space="preserve">7.1.2. Efetuar os créditos dos pagamentos nas contas dos agentes políticos, funcionários públicos e servidores ativos sem qualquer custo, em conformidade </w:t>
      </w:r>
      <w:r w:rsidRPr="00402A43">
        <w:rPr>
          <w:rFonts w:ascii="Arial" w:hAnsi="Arial" w:cs="Arial"/>
          <w:sz w:val="24"/>
          <w:szCs w:val="24"/>
        </w:rPr>
        <w:lastRenderedPageBreak/>
        <w:t>com as informações repassadas pela Câmara Municipal de Conceição de Macabu/RJ.</w:t>
      </w: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43">
        <w:rPr>
          <w:rFonts w:ascii="Arial" w:hAnsi="Arial" w:cs="Arial"/>
          <w:sz w:val="24"/>
          <w:szCs w:val="24"/>
        </w:rPr>
        <w:t>7.1.3. A instituição financeira contratada deve assegurar a faculdade de transferência (portabilidade) com disponibilidade no mesmo dia, dos créditos para conta de depósitos de titularidade dos beneficiários, por eles livremente abertas, em conformidade com o artigo 2º da Resolução 3.402/2006 do Banco Central.</w:t>
      </w: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43">
        <w:rPr>
          <w:rFonts w:ascii="Arial" w:hAnsi="Arial" w:cs="Arial"/>
          <w:sz w:val="24"/>
          <w:szCs w:val="24"/>
        </w:rPr>
        <w:t>7.1.4. Os serviços ofertados deverão atender as exigências de qualidade, observados os padrões e normas baixadas pelos órgãos competentes de controle e fiscalização, bem como as normas e legislações alusivas as Instituições Financeiras, além de atender a Lei Federal nº 8.078/1990 (Código de Defesa do Consumidor) no que for pertinente.</w:t>
      </w: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43">
        <w:rPr>
          <w:rFonts w:ascii="Arial" w:hAnsi="Arial" w:cs="Arial"/>
          <w:sz w:val="24"/>
          <w:szCs w:val="24"/>
        </w:rPr>
        <w:t>7.1.5. A Instituição Financeira deverá ter sistema informatizado compatível com o da contratante, para que todas as operações sejam processadas por meio eletrônico e on-line, sendo que no caso de incompatibilidade, todas as despesas necessárias para tal adaptação correrão por conta da CONTRATADA.</w:t>
      </w: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43">
        <w:rPr>
          <w:rFonts w:ascii="Arial" w:hAnsi="Arial" w:cs="Arial"/>
          <w:sz w:val="24"/>
          <w:szCs w:val="24"/>
        </w:rPr>
        <w:t>7.1.6. A instituição bancária deve-se aprimorar e inovar sempre os produtos e serviços oferecidos aos servidores municipais e manter uma assessoria especializada em análises confiáveis de seus investimentos e taxas de retorno compatíveis do mercado.</w:t>
      </w: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43">
        <w:rPr>
          <w:rFonts w:ascii="Arial" w:hAnsi="Arial" w:cs="Arial"/>
          <w:sz w:val="24"/>
          <w:szCs w:val="24"/>
        </w:rPr>
        <w:t xml:space="preserve">7.1.7. Responder por </w:t>
      </w:r>
      <w:proofErr w:type="gramStart"/>
      <w:r w:rsidRPr="00402A43">
        <w:rPr>
          <w:rFonts w:ascii="Arial" w:hAnsi="Arial" w:cs="Arial"/>
          <w:sz w:val="24"/>
          <w:szCs w:val="24"/>
        </w:rPr>
        <w:t>todos os impostos, taxas, seguros</w:t>
      </w:r>
      <w:proofErr w:type="gramEnd"/>
      <w:r w:rsidRPr="00402A43">
        <w:rPr>
          <w:rFonts w:ascii="Arial" w:hAnsi="Arial" w:cs="Arial"/>
          <w:sz w:val="24"/>
          <w:szCs w:val="24"/>
        </w:rPr>
        <w:t xml:space="preserve"> e quaisquer outros encargos que incidam ou venham a incidir sobre os respectivos serviços a serem prestados.</w:t>
      </w: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43">
        <w:rPr>
          <w:rFonts w:ascii="Arial" w:hAnsi="Arial" w:cs="Arial"/>
          <w:sz w:val="24"/>
          <w:szCs w:val="24"/>
        </w:rPr>
        <w:t>7.1.8. Manter durante a execução do contrato todas as condições de habilitação e qualificação exigidas na licitação.</w:t>
      </w: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43">
        <w:rPr>
          <w:rFonts w:ascii="Arial" w:hAnsi="Arial" w:cs="Arial"/>
          <w:sz w:val="24"/>
          <w:szCs w:val="24"/>
        </w:rPr>
        <w:t>7.1.9. Reparar ou corrigir, dentro do prazo estipulado pela Câmara Municipal de Conceição de Macabu/RJ, os eventuais vícios, defeitos ou incorreções constatadas pela fiscalização dos serviços.</w:t>
      </w: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43">
        <w:rPr>
          <w:rFonts w:ascii="Arial" w:hAnsi="Arial" w:cs="Arial"/>
          <w:sz w:val="24"/>
          <w:szCs w:val="24"/>
        </w:rPr>
        <w:t>7.1.10. Efetuar o pagamento de impostos e eventuais multas aplicadas por autoridade federal, estadual ou municipal, relacionadas com a atividade explorada.</w:t>
      </w: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43">
        <w:rPr>
          <w:rFonts w:ascii="Arial" w:hAnsi="Arial" w:cs="Arial"/>
          <w:sz w:val="24"/>
          <w:szCs w:val="24"/>
        </w:rPr>
        <w:t>7.1.11. Identificar os funcionários em serviço com uso permanente de crachá da instituição.</w:t>
      </w: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43">
        <w:rPr>
          <w:rFonts w:ascii="Arial" w:hAnsi="Arial" w:cs="Arial"/>
          <w:sz w:val="24"/>
          <w:szCs w:val="24"/>
        </w:rPr>
        <w:t>7.2. A Câmara Municipal de Conceição de Macabu /RJ, não assume qualquer responsabilidade pelos compromissos assumidos por seus agentes políticos, funcionários públicos e servidores ativos.</w:t>
      </w: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43">
        <w:rPr>
          <w:rFonts w:ascii="Arial" w:hAnsi="Arial" w:cs="Arial"/>
          <w:sz w:val="24"/>
          <w:szCs w:val="24"/>
        </w:rPr>
        <w:t xml:space="preserve">7.3. É vedada a subcontratação de outra instituição financeira, mesmo que seja </w:t>
      </w:r>
      <w:proofErr w:type="gramStart"/>
      <w:r w:rsidRPr="00402A43">
        <w:rPr>
          <w:rFonts w:ascii="Arial" w:hAnsi="Arial" w:cs="Arial"/>
          <w:sz w:val="24"/>
          <w:szCs w:val="24"/>
        </w:rPr>
        <w:t>sua controlada ou controladora, para execução total ou parcial dos serviços, objeto desta licitação</w:t>
      </w:r>
      <w:proofErr w:type="gramEnd"/>
      <w:r w:rsidRPr="00402A43">
        <w:rPr>
          <w:rFonts w:ascii="Arial" w:hAnsi="Arial" w:cs="Arial"/>
          <w:sz w:val="24"/>
          <w:szCs w:val="24"/>
        </w:rPr>
        <w:t>.</w:t>
      </w: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43">
        <w:rPr>
          <w:rFonts w:ascii="Arial" w:hAnsi="Arial" w:cs="Arial"/>
          <w:sz w:val="24"/>
          <w:szCs w:val="24"/>
        </w:rPr>
        <w:t xml:space="preserve">7.4. Não haverá qualquer solidariedade entre a CONTRATANTE, denominada Câmara Municipal de Conceição de Macabu/RJ, e a CONTRATADA, quanto ao cumprimento das obrigações trabalhistas e previdenciárias de seus empregados, cabendo a ela </w:t>
      </w:r>
      <w:proofErr w:type="gramStart"/>
      <w:r w:rsidRPr="00402A43">
        <w:rPr>
          <w:rFonts w:ascii="Arial" w:hAnsi="Arial" w:cs="Arial"/>
          <w:sz w:val="24"/>
          <w:szCs w:val="24"/>
        </w:rPr>
        <w:t>assumir</w:t>
      </w:r>
      <w:proofErr w:type="gramEnd"/>
      <w:r w:rsidRPr="00402A43">
        <w:rPr>
          <w:rFonts w:ascii="Arial" w:hAnsi="Arial" w:cs="Arial"/>
          <w:sz w:val="24"/>
          <w:szCs w:val="24"/>
        </w:rPr>
        <w:t xml:space="preserve"> de forma exclusiva, todos os ônus advindos da relação empregatícia.</w:t>
      </w: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43">
        <w:rPr>
          <w:rFonts w:ascii="Arial" w:hAnsi="Arial" w:cs="Arial"/>
          <w:sz w:val="24"/>
          <w:szCs w:val="24"/>
        </w:rPr>
        <w:t xml:space="preserve"> 7.5. </w:t>
      </w:r>
      <w:proofErr w:type="gramStart"/>
      <w:r w:rsidRPr="00402A43">
        <w:rPr>
          <w:rFonts w:ascii="Arial" w:hAnsi="Arial" w:cs="Arial"/>
          <w:sz w:val="24"/>
          <w:szCs w:val="24"/>
        </w:rPr>
        <w:t>Deverá</w:t>
      </w:r>
      <w:proofErr w:type="gramEnd"/>
      <w:r w:rsidRPr="00402A43">
        <w:rPr>
          <w:rFonts w:ascii="Arial" w:hAnsi="Arial" w:cs="Arial"/>
          <w:sz w:val="24"/>
          <w:szCs w:val="24"/>
        </w:rPr>
        <w:t xml:space="preserve"> ser oferecida aos agentes políticos, funcionários públicos e servidores ativos uma cesta de serviços, isenta de cobrança, compreendendo no mínimo os produtos/serviços abaixo:</w:t>
      </w: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A43" w:rsidRPr="00402A43" w:rsidRDefault="00402A43" w:rsidP="00402A4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43">
        <w:rPr>
          <w:rFonts w:ascii="Arial" w:hAnsi="Arial" w:cs="Arial"/>
          <w:sz w:val="24"/>
          <w:szCs w:val="24"/>
        </w:rPr>
        <w:t>Abertura de conta salário, sem nenhum tipo de cobrança de tarifa durante a utilização da mesma;</w:t>
      </w:r>
    </w:p>
    <w:p w:rsidR="00402A43" w:rsidRPr="00402A43" w:rsidRDefault="00402A43" w:rsidP="00402A4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43">
        <w:rPr>
          <w:rFonts w:ascii="Arial" w:hAnsi="Arial" w:cs="Arial"/>
          <w:sz w:val="24"/>
          <w:szCs w:val="24"/>
        </w:rPr>
        <w:t>Abertura de conta corrente;</w:t>
      </w:r>
    </w:p>
    <w:p w:rsidR="00402A43" w:rsidRPr="00402A43" w:rsidRDefault="00402A43" w:rsidP="00402A4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43">
        <w:rPr>
          <w:rFonts w:ascii="Arial" w:hAnsi="Arial" w:cs="Arial"/>
          <w:sz w:val="24"/>
          <w:szCs w:val="24"/>
        </w:rPr>
        <w:t>Talonário de cheque mensal com 10 (dez) folhas, desde que o cliente reúna os requisitos necessários a utilização de cheques, conforme a regulamentação em vigor e condições compactuadas;</w:t>
      </w:r>
    </w:p>
    <w:p w:rsidR="00402A43" w:rsidRPr="00402A43" w:rsidRDefault="00402A43" w:rsidP="00402A4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43">
        <w:rPr>
          <w:rFonts w:ascii="Arial" w:hAnsi="Arial" w:cs="Arial"/>
          <w:sz w:val="24"/>
          <w:szCs w:val="24"/>
        </w:rPr>
        <w:t>Fornecimento de até 04 (quatro) extratos, por mês, contendo a movimentação dos últimos 30 (trinta) dias por meio de guichê de caixa e/ou terminal de autoatendimento;</w:t>
      </w:r>
    </w:p>
    <w:p w:rsidR="00402A43" w:rsidRPr="00402A43" w:rsidRDefault="00402A43" w:rsidP="00402A4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43">
        <w:rPr>
          <w:rFonts w:ascii="Arial" w:hAnsi="Arial" w:cs="Arial"/>
          <w:sz w:val="24"/>
          <w:szCs w:val="24"/>
        </w:rPr>
        <w:t>Fornecimento de cartão na função de débito;</w:t>
      </w:r>
    </w:p>
    <w:p w:rsidR="00402A43" w:rsidRPr="00402A43" w:rsidRDefault="00402A43" w:rsidP="00402A4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43">
        <w:rPr>
          <w:rFonts w:ascii="Arial" w:hAnsi="Arial" w:cs="Arial"/>
          <w:sz w:val="24"/>
          <w:szCs w:val="24"/>
        </w:rPr>
        <w:t>Fornecimento de segunda via do cartão de débito, exceto nos casos decorrentes de perda, roubo, danificação e outros motivos não imputáveis à instituição financeira.</w:t>
      </w:r>
    </w:p>
    <w:p w:rsidR="00402A43" w:rsidRPr="00402A43" w:rsidRDefault="00402A43" w:rsidP="00402A4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43">
        <w:rPr>
          <w:rFonts w:ascii="Arial" w:hAnsi="Arial" w:cs="Arial"/>
          <w:sz w:val="24"/>
          <w:szCs w:val="24"/>
        </w:rPr>
        <w:t>Realização de no mínimo 10 (dez) saques, por mês, em guichê de caixa, inclusive por meio de cheque ou de cheque avulso, ou em terminal de autoatendimento;</w:t>
      </w:r>
    </w:p>
    <w:p w:rsidR="00402A43" w:rsidRPr="00402A43" w:rsidRDefault="00402A43" w:rsidP="00402A4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43">
        <w:rPr>
          <w:rFonts w:ascii="Arial" w:hAnsi="Arial" w:cs="Arial"/>
          <w:sz w:val="24"/>
          <w:szCs w:val="24"/>
        </w:rPr>
        <w:t xml:space="preserve">Realização de do </w:t>
      </w:r>
      <w:proofErr w:type="gramStart"/>
      <w:r w:rsidRPr="00402A43">
        <w:rPr>
          <w:rFonts w:ascii="Arial" w:hAnsi="Arial" w:cs="Arial"/>
          <w:sz w:val="24"/>
          <w:szCs w:val="24"/>
        </w:rPr>
        <w:t>mínimo 02 (duas) transferências</w:t>
      </w:r>
      <w:proofErr w:type="gramEnd"/>
      <w:r w:rsidRPr="00402A43">
        <w:rPr>
          <w:rFonts w:ascii="Arial" w:hAnsi="Arial" w:cs="Arial"/>
          <w:sz w:val="24"/>
          <w:szCs w:val="24"/>
        </w:rPr>
        <w:t xml:space="preserve"> de recursos entre contas na própria instituição, por mês, em guichê de caixa, em terminal de autoatendimento e/ou pela internet;</w:t>
      </w:r>
    </w:p>
    <w:p w:rsidR="00402A43" w:rsidRPr="00402A43" w:rsidRDefault="00402A43" w:rsidP="00402A4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43">
        <w:rPr>
          <w:rFonts w:ascii="Arial" w:hAnsi="Arial" w:cs="Arial"/>
          <w:sz w:val="24"/>
          <w:szCs w:val="24"/>
        </w:rPr>
        <w:t>Realização de consultas mediante utilização da internet por meio de site ou aplicativo para dispositivos móveis;</w:t>
      </w:r>
    </w:p>
    <w:p w:rsidR="00402A43" w:rsidRPr="00402A43" w:rsidRDefault="00402A43" w:rsidP="00402A4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43">
        <w:rPr>
          <w:rFonts w:ascii="Arial" w:hAnsi="Arial" w:cs="Arial"/>
          <w:sz w:val="24"/>
          <w:szCs w:val="24"/>
        </w:rPr>
        <w:t>Realização de 10 (dez) pagamentos diversos no autoatendimento;</w:t>
      </w:r>
    </w:p>
    <w:p w:rsidR="00402A43" w:rsidRPr="00402A43" w:rsidRDefault="00402A43" w:rsidP="00402A4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43">
        <w:rPr>
          <w:rFonts w:ascii="Arial" w:hAnsi="Arial" w:cs="Arial"/>
          <w:sz w:val="24"/>
          <w:szCs w:val="24"/>
        </w:rPr>
        <w:t>Prestação de quaisquer serviços por meios eletrônicos, no caso de contas cujos contratos prevejam utilizar exclusivamente meios eletrônicos;</w:t>
      </w:r>
    </w:p>
    <w:p w:rsidR="00402A43" w:rsidRPr="00402A43" w:rsidRDefault="00402A43" w:rsidP="00402A4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43">
        <w:rPr>
          <w:rFonts w:ascii="Arial" w:hAnsi="Arial" w:cs="Arial"/>
          <w:sz w:val="24"/>
          <w:szCs w:val="24"/>
        </w:rPr>
        <w:t>Manutenção de conta, inclusive no caso de não haver movimentação;</w:t>
      </w: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43">
        <w:rPr>
          <w:rFonts w:ascii="Arial" w:hAnsi="Arial" w:cs="Arial"/>
          <w:sz w:val="24"/>
          <w:szCs w:val="24"/>
        </w:rPr>
        <w:t xml:space="preserve">7.6. Para os agentes políticos, funcionários públicos ou servidores ativos que receberem sua remuneração em conta exclusivamente de salários não </w:t>
      </w:r>
      <w:proofErr w:type="gramStart"/>
      <w:r w:rsidRPr="00402A43">
        <w:rPr>
          <w:rFonts w:ascii="Arial" w:hAnsi="Arial" w:cs="Arial"/>
          <w:sz w:val="24"/>
          <w:szCs w:val="24"/>
        </w:rPr>
        <w:t>será</w:t>
      </w:r>
      <w:proofErr w:type="gramEnd"/>
      <w:r w:rsidRPr="00402A43">
        <w:rPr>
          <w:rFonts w:ascii="Arial" w:hAnsi="Arial" w:cs="Arial"/>
          <w:sz w:val="24"/>
          <w:szCs w:val="24"/>
        </w:rPr>
        <w:t xml:space="preserve"> cobrada tarifa dos serviços.</w:t>
      </w: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43">
        <w:rPr>
          <w:rFonts w:ascii="Arial" w:hAnsi="Arial" w:cs="Arial"/>
          <w:sz w:val="24"/>
          <w:szCs w:val="24"/>
        </w:rPr>
        <w:lastRenderedPageBreak/>
        <w:t xml:space="preserve">7.7. Será </w:t>
      </w:r>
      <w:proofErr w:type="gramStart"/>
      <w:r w:rsidRPr="00402A43">
        <w:rPr>
          <w:rFonts w:ascii="Arial" w:hAnsi="Arial" w:cs="Arial"/>
          <w:sz w:val="24"/>
          <w:szCs w:val="24"/>
        </w:rPr>
        <w:t>concedido a Instituição Bancária vencedora do certame</w:t>
      </w:r>
      <w:proofErr w:type="gramEnd"/>
      <w:r w:rsidRPr="00402A43">
        <w:rPr>
          <w:rFonts w:ascii="Arial" w:hAnsi="Arial" w:cs="Arial"/>
          <w:sz w:val="24"/>
          <w:szCs w:val="24"/>
        </w:rPr>
        <w:t xml:space="preserve"> o direito de disponibilizar aos agentes políticos, funcionários públicos e servidores ativos, empréstimos, sem exclusividade, mediante consignação das parcelas em folha de pagamento.</w:t>
      </w: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43">
        <w:rPr>
          <w:rFonts w:ascii="Arial" w:hAnsi="Arial" w:cs="Arial"/>
          <w:sz w:val="24"/>
          <w:szCs w:val="24"/>
        </w:rPr>
        <w:t>7.8. Deverá ser apresentado documento comprobatório da condição de instituição financeira devidamente autorizada a funcionar pelo Banco Central do Brasil (BACEN), com agência em funcionamento no município de Conceição de Macabu.</w:t>
      </w: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02A43">
        <w:rPr>
          <w:rFonts w:ascii="Arial" w:hAnsi="Arial" w:cs="Arial"/>
          <w:b/>
          <w:sz w:val="24"/>
          <w:szCs w:val="24"/>
        </w:rPr>
        <w:t>8. QUALIFICAÇÃO ECONÔMICO-FINANCEIRA NECESSÁRIA</w:t>
      </w: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43">
        <w:rPr>
          <w:rFonts w:ascii="Arial" w:hAnsi="Arial" w:cs="Arial"/>
          <w:sz w:val="24"/>
          <w:szCs w:val="24"/>
        </w:rPr>
        <w:t>8.1. O requisito para a habilitação da instituição financeira é sua solidez financeira, patrimonial, comprovada mediante a apresentação do último balanço e demonstrações financeiras exigidas pela legislação de regência e do qual se possam extrair índices que comprovem a sua boa situação financeira, no caso os índices utilizados para medir a solvência bancária, de acordo com as normas do Banco Central do Brasil e do Conselho Monetário Nacional.</w:t>
      </w: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43">
        <w:rPr>
          <w:rFonts w:ascii="Arial" w:hAnsi="Arial" w:cs="Arial"/>
          <w:sz w:val="24"/>
          <w:szCs w:val="24"/>
        </w:rPr>
        <w:t>8.2. Análise de desempenho conforme os mecanismos adotados no Acordo de Basiléia e seus adendos, obedecidas às normativas do Banco Central do Brasil.</w:t>
      </w: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02A43">
        <w:rPr>
          <w:rFonts w:ascii="Arial" w:hAnsi="Arial" w:cs="Arial"/>
          <w:b/>
          <w:sz w:val="24"/>
          <w:szCs w:val="24"/>
        </w:rPr>
        <w:t>9. DA VIGÊNCIA</w:t>
      </w: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43">
        <w:rPr>
          <w:rFonts w:ascii="Arial" w:hAnsi="Arial" w:cs="Arial"/>
          <w:sz w:val="24"/>
          <w:szCs w:val="24"/>
        </w:rPr>
        <w:t>9.1. O prazo de vigência da contratação é de 60 (sessenta) meses, a contar da assinatura do contrato. A prorrogação poderá ser feita de acordo com a conveniência das partes, fundado no interesse público e mediante autorização do gestor da Câmara Municipal de Conceição de Macabu, por até 60 (sessenta) meses, desde que atendidas todas as normas legais que regem a matéria.</w:t>
      </w: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43">
        <w:rPr>
          <w:rFonts w:ascii="Arial" w:hAnsi="Arial" w:cs="Arial"/>
          <w:sz w:val="24"/>
          <w:szCs w:val="24"/>
        </w:rPr>
        <w:t xml:space="preserve">9.2. O Termo de Contrato está sujeito </w:t>
      </w:r>
      <w:proofErr w:type="gramStart"/>
      <w:r w:rsidRPr="00402A43">
        <w:rPr>
          <w:rFonts w:ascii="Arial" w:hAnsi="Arial" w:cs="Arial"/>
          <w:sz w:val="24"/>
          <w:szCs w:val="24"/>
        </w:rPr>
        <w:t>a</w:t>
      </w:r>
      <w:proofErr w:type="gramEnd"/>
      <w:r w:rsidRPr="00402A43">
        <w:rPr>
          <w:rFonts w:ascii="Arial" w:hAnsi="Arial" w:cs="Arial"/>
          <w:sz w:val="24"/>
          <w:szCs w:val="24"/>
        </w:rPr>
        <w:t xml:space="preserve"> rescisão nos termos dos artigos 77, 78 e 79 da Lei 8666/1993 e alterações.</w:t>
      </w: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02A43">
        <w:rPr>
          <w:rFonts w:ascii="Arial" w:hAnsi="Arial" w:cs="Arial"/>
          <w:b/>
          <w:sz w:val="24"/>
          <w:szCs w:val="24"/>
        </w:rPr>
        <w:t>10. APLICAÇÕES DE MULTA E DEFINAÇÃO DA BASE DE CÁLCULO</w:t>
      </w: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43">
        <w:rPr>
          <w:rFonts w:ascii="Arial" w:hAnsi="Arial" w:cs="Arial"/>
          <w:sz w:val="24"/>
          <w:szCs w:val="24"/>
        </w:rPr>
        <w:t>10.1. O atraso no pagamento do valor ofertado, nas condições estabelecidas no Edital acarretará multa diária de 0.0666%.</w:t>
      </w: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43">
        <w:rPr>
          <w:rFonts w:ascii="Arial" w:hAnsi="Arial" w:cs="Arial"/>
          <w:sz w:val="24"/>
          <w:szCs w:val="24"/>
        </w:rPr>
        <w:t>10.2. Atraso na execução do contrato.</w:t>
      </w: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43">
        <w:rPr>
          <w:rFonts w:ascii="Arial" w:hAnsi="Arial" w:cs="Arial"/>
          <w:sz w:val="24"/>
          <w:szCs w:val="24"/>
        </w:rPr>
        <w:t>10.3. Ultrapassados os prazos para o inicio dos serviços, acarretará em multa estipulada no item 12.1 deste Termo de Referência.</w:t>
      </w:r>
    </w:p>
    <w:p w:rsid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30BC" w:rsidRDefault="00A030BC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30BC" w:rsidRDefault="00A030BC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30BC" w:rsidRPr="00402A43" w:rsidRDefault="00A030BC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02A43">
        <w:rPr>
          <w:rFonts w:ascii="Arial" w:hAnsi="Arial" w:cs="Arial"/>
          <w:b/>
          <w:sz w:val="24"/>
          <w:szCs w:val="24"/>
        </w:rPr>
        <w:t>11. DAS DISPOSIÇÕES FINAIS</w:t>
      </w: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43">
        <w:rPr>
          <w:rFonts w:ascii="Arial" w:hAnsi="Arial" w:cs="Arial"/>
          <w:sz w:val="24"/>
          <w:szCs w:val="24"/>
        </w:rPr>
        <w:t>11.1 A oscilação do número de agentes políticos, funcionários públicos e servidores ativos, causados por admissões, demissões, licenças, falecimento, aposentadoria, entre outras, não acarretará qualquer condição do edital, nem sujeitará qualquer das partes ao pagamento de indenização ou de outra penalidade.</w:t>
      </w: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43">
        <w:rPr>
          <w:rFonts w:ascii="Arial" w:hAnsi="Arial" w:cs="Arial"/>
          <w:sz w:val="24"/>
          <w:szCs w:val="24"/>
        </w:rPr>
        <w:t xml:space="preserve">11.2. </w:t>
      </w:r>
      <w:proofErr w:type="gramStart"/>
      <w:r w:rsidRPr="00402A43">
        <w:rPr>
          <w:rFonts w:ascii="Arial" w:hAnsi="Arial" w:cs="Arial"/>
          <w:sz w:val="24"/>
          <w:szCs w:val="24"/>
        </w:rPr>
        <w:t>Caberá</w:t>
      </w:r>
      <w:proofErr w:type="gramEnd"/>
      <w:r w:rsidRPr="00402A43">
        <w:rPr>
          <w:rFonts w:ascii="Arial" w:hAnsi="Arial" w:cs="Arial"/>
          <w:sz w:val="24"/>
          <w:szCs w:val="24"/>
        </w:rPr>
        <w:t xml:space="preserve"> a instituição financeira providenciar o repasse dos valores de pensões alimentícias devidas pelos agentes políticos, funcionários públicos e servidores ativos, sem ônus, para as instruções indicadas nas sentenças judiciais. </w:t>
      </w: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43">
        <w:rPr>
          <w:rFonts w:ascii="Arial" w:hAnsi="Arial" w:cs="Arial"/>
          <w:sz w:val="24"/>
          <w:szCs w:val="24"/>
        </w:rPr>
        <w:t xml:space="preserve">11.3. É vedado à instituição financeira recusar a abertura de conta bancária tipo conta salário para os beneficiários, ressalvadas as hipóteses previstas em lei. Na hipótese de impedimento legal deverá comunicar a Câmara Municipal e providenciar </w:t>
      </w:r>
      <w:proofErr w:type="gramStart"/>
      <w:r w:rsidRPr="00402A43">
        <w:rPr>
          <w:rFonts w:ascii="Arial" w:hAnsi="Arial" w:cs="Arial"/>
          <w:sz w:val="24"/>
          <w:szCs w:val="24"/>
        </w:rPr>
        <w:t>outra forma de efetivação do crédito relativos aos pagamentos</w:t>
      </w:r>
      <w:proofErr w:type="gramEnd"/>
      <w:r w:rsidRPr="00402A43">
        <w:rPr>
          <w:rFonts w:ascii="Arial" w:hAnsi="Arial" w:cs="Arial"/>
          <w:sz w:val="24"/>
          <w:szCs w:val="24"/>
        </w:rPr>
        <w:t>.</w:t>
      </w: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02A43">
        <w:rPr>
          <w:rFonts w:ascii="Arial" w:hAnsi="Arial" w:cs="Arial"/>
          <w:b/>
          <w:sz w:val="24"/>
          <w:szCs w:val="24"/>
        </w:rPr>
        <w:t>12. REPONSÁVEL PELO ACOMPANHAMENTO DA EXECUÇÃO DO CONTRATO</w:t>
      </w: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A43" w:rsidRPr="00402A43" w:rsidRDefault="00402A43" w:rsidP="0040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43">
        <w:rPr>
          <w:rFonts w:ascii="Arial" w:hAnsi="Arial" w:cs="Arial"/>
          <w:sz w:val="24"/>
          <w:szCs w:val="24"/>
        </w:rPr>
        <w:t xml:space="preserve">12.1. A Câmara Municipal designará 02 (dois) servidores do quadro efetivo ou não, para acompanhamento do cumprimento do contrato que vier a ser firmado, comunicando de imediato a instituição financeira. Em caso de alteração dos servidores a comunicação também será de imediato. </w:t>
      </w:r>
    </w:p>
    <w:p w:rsidR="00130D9A" w:rsidRPr="00402A43" w:rsidRDefault="00130D9A" w:rsidP="00130D9A">
      <w:pPr>
        <w:rPr>
          <w:rFonts w:ascii="Arial" w:hAnsi="Arial" w:cs="Arial"/>
          <w:sz w:val="24"/>
          <w:szCs w:val="24"/>
        </w:rPr>
      </w:pPr>
    </w:p>
    <w:p w:rsidR="00130D9A" w:rsidRPr="002901B7" w:rsidRDefault="00130D9A" w:rsidP="00130D9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30D9A" w:rsidRPr="002901B7" w:rsidRDefault="00130D9A" w:rsidP="00130D9A">
      <w:pPr>
        <w:spacing w:after="0" w:line="240" w:lineRule="auto"/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Tony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Luis</w:t>
      </w:r>
      <w:proofErr w:type="spellEnd"/>
      <w:r w:rsidRPr="002901B7">
        <w:rPr>
          <w:rFonts w:ascii="Arial" w:hAnsi="Arial" w:cs="Arial"/>
          <w:b/>
          <w:i/>
          <w:sz w:val="24"/>
          <w:szCs w:val="24"/>
        </w:rPr>
        <w:t xml:space="preserve"> Silva</w:t>
      </w:r>
    </w:p>
    <w:p w:rsidR="00130D9A" w:rsidRPr="00130D9A" w:rsidRDefault="00130D9A" w:rsidP="00B613D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901B7">
        <w:rPr>
          <w:rFonts w:ascii="Arial" w:hAnsi="Arial" w:cs="Arial"/>
          <w:b/>
          <w:i/>
          <w:sz w:val="24"/>
          <w:szCs w:val="24"/>
        </w:rPr>
        <w:t>Secretário Geral</w:t>
      </w:r>
    </w:p>
    <w:sectPr w:rsidR="00130D9A" w:rsidRPr="00130D9A" w:rsidSect="0084149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7BE" w:rsidRDefault="003A67BE" w:rsidP="00917B9E">
      <w:pPr>
        <w:spacing w:after="0" w:line="240" w:lineRule="auto"/>
      </w:pPr>
      <w:r>
        <w:separator/>
      </w:r>
    </w:p>
  </w:endnote>
  <w:endnote w:type="continuationSeparator" w:id="0">
    <w:p w:rsidR="003A67BE" w:rsidRDefault="003A67BE" w:rsidP="0091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843492"/>
      <w:docPartObj>
        <w:docPartGallery w:val="Page Numbers (Bottom of Page)"/>
        <w:docPartUnique/>
      </w:docPartObj>
    </w:sdtPr>
    <w:sdtEndPr/>
    <w:sdtContent>
      <w:p w:rsidR="00FF4BAB" w:rsidRDefault="00FF4BA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CEB">
          <w:rPr>
            <w:noProof/>
          </w:rPr>
          <w:t>7</w:t>
        </w:r>
        <w:r>
          <w:fldChar w:fldCharType="end"/>
        </w:r>
      </w:p>
    </w:sdtContent>
  </w:sdt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7BE" w:rsidRDefault="003A67BE" w:rsidP="00917B9E">
      <w:pPr>
        <w:spacing w:after="0" w:line="240" w:lineRule="auto"/>
      </w:pPr>
      <w:r>
        <w:separator/>
      </w:r>
    </w:p>
  </w:footnote>
  <w:footnote w:type="continuationSeparator" w:id="0">
    <w:p w:rsidR="003A67BE" w:rsidRDefault="003A67BE" w:rsidP="00917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B9E" w:rsidRDefault="00917B9E">
    <w:pPr>
      <w:pStyle w:val="Cabealh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60A7A98" wp14:editId="4B0DF5E8">
          <wp:simplePos x="0" y="0"/>
          <wp:positionH relativeFrom="margin">
            <wp:align>center</wp:align>
          </wp:positionH>
          <wp:positionV relativeFrom="margin">
            <wp:posOffset>-1223010</wp:posOffset>
          </wp:positionV>
          <wp:extent cx="714375" cy="790575"/>
          <wp:effectExtent l="19050" t="0" r="9525" b="0"/>
          <wp:wrapSquare wrapText="bothSides"/>
          <wp:docPr id="2" name="Imagem 0" descr="Brasão_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_nov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17B9E" w:rsidRDefault="00917B9E">
    <w:pPr>
      <w:pStyle w:val="Cabealho"/>
    </w:pPr>
  </w:p>
  <w:p w:rsidR="00E57687" w:rsidRDefault="00E57687" w:rsidP="00E57687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917B9E" w:rsidRPr="00E57687" w:rsidRDefault="00917B9E" w:rsidP="00E57687">
    <w:pPr>
      <w:pStyle w:val="Cabealho"/>
      <w:jc w:val="center"/>
      <w:rPr>
        <w:rFonts w:ascii="Arial" w:hAnsi="Arial" w:cs="Arial"/>
        <w:b/>
        <w:sz w:val="20"/>
        <w:szCs w:val="20"/>
      </w:rPr>
    </w:pPr>
    <w:r w:rsidRPr="00E57687">
      <w:rPr>
        <w:rFonts w:ascii="Arial" w:hAnsi="Arial" w:cs="Arial"/>
        <w:b/>
        <w:sz w:val="20"/>
        <w:szCs w:val="20"/>
      </w:rPr>
      <w:t>ESTADO DO RIO DE JANEIRO</w:t>
    </w:r>
  </w:p>
  <w:p w:rsidR="00917B9E" w:rsidRPr="00E57687" w:rsidRDefault="00917B9E" w:rsidP="00917B9E">
    <w:pPr>
      <w:pStyle w:val="Cabealho"/>
      <w:jc w:val="center"/>
      <w:rPr>
        <w:rFonts w:ascii="Arial" w:hAnsi="Arial" w:cs="Arial"/>
        <w:b/>
        <w:sz w:val="20"/>
        <w:szCs w:val="20"/>
      </w:rPr>
    </w:pPr>
    <w:r w:rsidRPr="00E57687">
      <w:rPr>
        <w:rFonts w:ascii="Arial" w:hAnsi="Arial" w:cs="Arial"/>
        <w:b/>
        <w:sz w:val="20"/>
        <w:szCs w:val="20"/>
      </w:rPr>
      <w:t>PODER LEGISLATIVO</w:t>
    </w:r>
  </w:p>
  <w:p w:rsidR="00917B9E" w:rsidRPr="00E57687" w:rsidRDefault="00917B9E" w:rsidP="00917B9E">
    <w:pPr>
      <w:pStyle w:val="Cabealho"/>
      <w:jc w:val="center"/>
      <w:rPr>
        <w:sz w:val="20"/>
        <w:szCs w:val="20"/>
      </w:rPr>
    </w:pPr>
    <w:r w:rsidRPr="00E57687">
      <w:rPr>
        <w:rFonts w:ascii="Arial" w:hAnsi="Arial" w:cs="Arial"/>
        <w:b/>
        <w:sz w:val="20"/>
        <w:szCs w:val="20"/>
      </w:rPr>
      <w:t>CÂMARA MUNICIPAL DE CONCEIÇÃO DE MACABU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422E3"/>
    <w:multiLevelType w:val="multilevel"/>
    <w:tmpl w:val="C6B83E8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22B6227"/>
    <w:multiLevelType w:val="hybridMultilevel"/>
    <w:tmpl w:val="8ECE02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9E"/>
    <w:rsid w:val="000065FB"/>
    <w:rsid w:val="00016EED"/>
    <w:rsid w:val="00021BEC"/>
    <w:rsid w:val="000224F7"/>
    <w:rsid w:val="00066CEB"/>
    <w:rsid w:val="00075592"/>
    <w:rsid w:val="00083F94"/>
    <w:rsid w:val="0008641B"/>
    <w:rsid w:val="000B197A"/>
    <w:rsid w:val="000D3B6E"/>
    <w:rsid w:val="00103271"/>
    <w:rsid w:val="00103D1D"/>
    <w:rsid w:val="00105AE9"/>
    <w:rsid w:val="001074E8"/>
    <w:rsid w:val="001135FD"/>
    <w:rsid w:val="00130D9A"/>
    <w:rsid w:val="00162256"/>
    <w:rsid w:val="00170465"/>
    <w:rsid w:val="00180232"/>
    <w:rsid w:val="00183272"/>
    <w:rsid w:val="00197C2C"/>
    <w:rsid w:val="001A0C00"/>
    <w:rsid w:val="001A5576"/>
    <w:rsid w:val="001B3691"/>
    <w:rsid w:val="001B68E8"/>
    <w:rsid w:val="001D3670"/>
    <w:rsid w:val="001E2446"/>
    <w:rsid w:val="001E7F7D"/>
    <w:rsid w:val="001F1A8E"/>
    <w:rsid w:val="00212743"/>
    <w:rsid w:val="002140BD"/>
    <w:rsid w:val="00215F0A"/>
    <w:rsid w:val="0021708C"/>
    <w:rsid w:val="00222228"/>
    <w:rsid w:val="0022295A"/>
    <w:rsid w:val="00245072"/>
    <w:rsid w:val="0024623E"/>
    <w:rsid w:val="00252570"/>
    <w:rsid w:val="00263764"/>
    <w:rsid w:val="002651BB"/>
    <w:rsid w:val="0027385D"/>
    <w:rsid w:val="00274BFE"/>
    <w:rsid w:val="002E5BA1"/>
    <w:rsid w:val="003016A6"/>
    <w:rsid w:val="00320F36"/>
    <w:rsid w:val="00334EA2"/>
    <w:rsid w:val="003379C3"/>
    <w:rsid w:val="003401DA"/>
    <w:rsid w:val="003601EA"/>
    <w:rsid w:val="0037720E"/>
    <w:rsid w:val="003957CE"/>
    <w:rsid w:val="003A67BE"/>
    <w:rsid w:val="003D0CDF"/>
    <w:rsid w:val="003E0CC1"/>
    <w:rsid w:val="004018D0"/>
    <w:rsid w:val="00402A43"/>
    <w:rsid w:val="0040737C"/>
    <w:rsid w:val="00434C86"/>
    <w:rsid w:val="00452C27"/>
    <w:rsid w:val="00457F34"/>
    <w:rsid w:val="00471757"/>
    <w:rsid w:val="004838F6"/>
    <w:rsid w:val="00484E1C"/>
    <w:rsid w:val="00491448"/>
    <w:rsid w:val="004930AA"/>
    <w:rsid w:val="004E1DFF"/>
    <w:rsid w:val="004E51A9"/>
    <w:rsid w:val="00562460"/>
    <w:rsid w:val="0056401C"/>
    <w:rsid w:val="0059043B"/>
    <w:rsid w:val="005A0884"/>
    <w:rsid w:val="005A2043"/>
    <w:rsid w:val="005A315C"/>
    <w:rsid w:val="005C0706"/>
    <w:rsid w:val="005C0A40"/>
    <w:rsid w:val="005C0B91"/>
    <w:rsid w:val="005C4865"/>
    <w:rsid w:val="005C48CA"/>
    <w:rsid w:val="005D143E"/>
    <w:rsid w:val="005D54CE"/>
    <w:rsid w:val="005E3ECA"/>
    <w:rsid w:val="005E4EF2"/>
    <w:rsid w:val="00602337"/>
    <w:rsid w:val="0060658B"/>
    <w:rsid w:val="006400B8"/>
    <w:rsid w:val="006601D5"/>
    <w:rsid w:val="006D5F7C"/>
    <w:rsid w:val="006D7AB1"/>
    <w:rsid w:val="006E56CA"/>
    <w:rsid w:val="006F0F47"/>
    <w:rsid w:val="006F3765"/>
    <w:rsid w:val="00734232"/>
    <w:rsid w:val="00735A00"/>
    <w:rsid w:val="00752086"/>
    <w:rsid w:val="00763020"/>
    <w:rsid w:val="00767203"/>
    <w:rsid w:val="00771C49"/>
    <w:rsid w:val="00786221"/>
    <w:rsid w:val="007B4CAC"/>
    <w:rsid w:val="007C0878"/>
    <w:rsid w:val="007F5511"/>
    <w:rsid w:val="0080577C"/>
    <w:rsid w:val="008163F5"/>
    <w:rsid w:val="00833952"/>
    <w:rsid w:val="0084149F"/>
    <w:rsid w:val="00841A1B"/>
    <w:rsid w:val="00843C2E"/>
    <w:rsid w:val="00845CDC"/>
    <w:rsid w:val="00846F06"/>
    <w:rsid w:val="0085683C"/>
    <w:rsid w:val="00867FA8"/>
    <w:rsid w:val="008773BC"/>
    <w:rsid w:val="008B3A07"/>
    <w:rsid w:val="008B4A5F"/>
    <w:rsid w:val="008B7EBB"/>
    <w:rsid w:val="008E636E"/>
    <w:rsid w:val="009078AA"/>
    <w:rsid w:val="009127D7"/>
    <w:rsid w:val="00917B9E"/>
    <w:rsid w:val="00921259"/>
    <w:rsid w:val="00922495"/>
    <w:rsid w:val="00930249"/>
    <w:rsid w:val="00933B02"/>
    <w:rsid w:val="0093767A"/>
    <w:rsid w:val="00981A01"/>
    <w:rsid w:val="0098308E"/>
    <w:rsid w:val="0099153D"/>
    <w:rsid w:val="00992565"/>
    <w:rsid w:val="009A5785"/>
    <w:rsid w:val="009C10C0"/>
    <w:rsid w:val="009C2692"/>
    <w:rsid w:val="009C3CF1"/>
    <w:rsid w:val="009D0BCD"/>
    <w:rsid w:val="009E442F"/>
    <w:rsid w:val="00A030BC"/>
    <w:rsid w:val="00A11601"/>
    <w:rsid w:val="00A20585"/>
    <w:rsid w:val="00A451C3"/>
    <w:rsid w:val="00A516A0"/>
    <w:rsid w:val="00A66A32"/>
    <w:rsid w:val="00A728BC"/>
    <w:rsid w:val="00A81A86"/>
    <w:rsid w:val="00A82B2B"/>
    <w:rsid w:val="00A96DEB"/>
    <w:rsid w:val="00AA0BFA"/>
    <w:rsid w:val="00AB37E5"/>
    <w:rsid w:val="00AE4D4B"/>
    <w:rsid w:val="00B567BA"/>
    <w:rsid w:val="00B613D4"/>
    <w:rsid w:val="00B6689D"/>
    <w:rsid w:val="00B746A2"/>
    <w:rsid w:val="00B854E1"/>
    <w:rsid w:val="00B85F13"/>
    <w:rsid w:val="00B973B7"/>
    <w:rsid w:val="00BA330C"/>
    <w:rsid w:val="00BB1EE9"/>
    <w:rsid w:val="00BB6989"/>
    <w:rsid w:val="00BC4A5F"/>
    <w:rsid w:val="00BD2DD6"/>
    <w:rsid w:val="00BE3972"/>
    <w:rsid w:val="00C15E36"/>
    <w:rsid w:val="00C34770"/>
    <w:rsid w:val="00C618DD"/>
    <w:rsid w:val="00C64525"/>
    <w:rsid w:val="00C65549"/>
    <w:rsid w:val="00C869EE"/>
    <w:rsid w:val="00CB1894"/>
    <w:rsid w:val="00CD4618"/>
    <w:rsid w:val="00CD76F6"/>
    <w:rsid w:val="00CE19E9"/>
    <w:rsid w:val="00CF19C1"/>
    <w:rsid w:val="00CF6010"/>
    <w:rsid w:val="00D25BB4"/>
    <w:rsid w:val="00D33421"/>
    <w:rsid w:val="00D36392"/>
    <w:rsid w:val="00D53C8C"/>
    <w:rsid w:val="00D806CA"/>
    <w:rsid w:val="00D864A9"/>
    <w:rsid w:val="00D869C0"/>
    <w:rsid w:val="00D9180C"/>
    <w:rsid w:val="00DA6AED"/>
    <w:rsid w:val="00DC56F7"/>
    <w:rsid w:val="00DE2307"/>
    <w:rsid w:val="00DE3405"/>
    <w:rsid w:val="00E022F4"/>
    <w:rsid w:val="00E11831"/>
    <w:rsid w:val="00E37DA7"/>
    <w:rsid w:val="00E52E2C"/>
    <w:rsid w:val="00E57687"/>
    <w:rsid w:val="00E67EDD"/>
    <w:rsid w:val="00E70ACA"/>
    <w:rsid w:val="00E74EAD"/>
    <w:rsid w:val="00E81A8C"/>
    <w:rsid w:val="00EC5DB1"/>
    <w:rsid w:val="00ED15CC"/>
    <w:rsid w:val="00ED42ED"/>
    <w:rsid w:val="00EE3BD5"/>
    <w:rsid w:val="00EF4289"/>
    <w:rsid w:val="00F17D9F"/>
    <w:rsid w:val="00F23051"/>
    <w:rsid w:val="00F263B4"/>
    <w:rsid w:val="00F36DAE"/>
    <w:rsid w:val="00F5631C"/>
    <w:rsid w:val="00F61491"/>
    <w:rsid w:val="00F70EDF"/>
    <w:rsid w:val="00F73D71"/>
    <w:rsid w:val="00F9530A"/>
    <w:rsid w:val="00FB00BF"/>
    <w:rsid w:val="00FB0507"/>
    <w:rsid w:val="00FB4BFF"/>
    <w:rsid w:val="00FF02A0"/>
    <w:rsid w:val="00FF4BAB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7B9E"/>
  </w:style>
  <w:style w:type="paragraph" w:styleId="Rodap">
    <w:name w:val="footer"/>
    <w:basedOn w:val="Normal"/>
    <w:link w:val="Rodap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B9E"/>
  </w:style>
  <w:style w:type="paragraph" w:styleId="Textodebalo">
    <w:name w:val="Balloon Text"/>
    <w:basedOn w:val="Normal"/>
    <w:link w:val="TextodebaloChar"/>
    <w:uiPriority w:val="99"/>
    <w:semiHidden/>
    <w:unhideWhenUsed/>
    <w:rsid w:val="0091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B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5683C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CF19C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F19C1"/>
    <w:rPr>
      <w:rFonts w:ascii="Times New Roman" w:eastAsia="Times New Roman" w:hAnsi="Times New Roman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rsid w:val="00CF19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CF19C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8773BC"/>
    <w:pPr>
      <w:ind w:left="720"/>
      <w:contextualSpacing/>
    </w:pPr>
  </w:style>
  <w:style w:type="table" w:styleId="Tabelacomgrade">
    <w:name w:val="Table Grid"/>
    <w:basedOn w:val="Tabelanormal"/>
    <w:rsid w:val="00A5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7B9E"/>
  </w:style>
  <w:style w:type="paragraph" w:styleId="Rodap">
    <w:name w:val="footer"/>
    <w:basedOn w:val="Normal"/>
    <w:link w:val="Rodap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B9E"/>
  </w:style>
  <w:style w:type="paragraph" w:styleId="Textodebalo">
    <w:name w:val="Balloon Text"/>
    <w:basedOn w:val="Normal"/>
    <w:link w:val="TextodebaloChar"/>
    <w:uiPriority w:val="99"/>
    <w:semiHidden/>
    <w:unhideWhenUsed/>
    <w:rsid w:val="0091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B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5683C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CF19C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F19C1"/>
    <w:rPr>
      <w:rFonts w:ascii="Times New Roman" w:eastAsia="Times New Roman" w:hAnsi="Times New Roman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rsid w:val="00CF19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CF19C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8773BC"/>
    <w:pPr>
      <w:ind w:left="720"/>
      <w:contextualSpacing/>
    </w:pPr>
  </w:style>
  <w:style w:type="table" w:styleId="Tabelacomgrade">
    <w:name w:val="Table Grid"/>
    <w:basedOn w:val="Tabelanormal"/>
    <w:rsid w:val="00A5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725C3-3F7F-4936-ADFC-BC4F6C466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7</Pages>
  <Words>2220</Words>
  <Characters>11992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Smmithy</dc:creator>
  <cp:lastModifiedBy>CMCM3</cp:lastModifiedBy>
  <cp:revision>71</cp:revision>
  <cp:lastPrinted>2018-09-24T17:08:00Z</cp:lastPrinted>
  <dcterms:created xsi:type="dcterms:W3CDTF">2018-05-23T12:57:00Z</dcterms:created>
  <dcterms:modified xsi:type="dcterms:W3CDTF">2018-12-06T11:35:00Z</dcterms:modified>
</cp:coreProperties>
</file>